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北京社会主义学院（北京统战理论研究基地）202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年招标课题选题方向</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根据全国统战部长会议、市委统战工作领导小组全体会议和全市统战部长会议部署，</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年中央统战部和全市统战工作要点，结合我市实际，202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年确定以下重点选题方向面向全市公开招标。有关委托课题，根据工作需要另行确定。</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一、统一战线基础理论研究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包括但不限于：习近平总书记关于加强和改进统一战线工作的重要思想研究；统一战线学学科体系、学术体系和话语体系建设研究；统一战线百年历史经验及对新时代加强和改进统一战线工作的启示与借鉴专题研究；新时代统一战线的时代特征和历史方位研究；统一战线防范化解重大风险隐患的现状、问题与对策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二、统一战线各领域工作研究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（一）多党合作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包括但不限于：关于加强和改进政治协商工作研究；加强中国特色社会主义参政党建设“三个文件”和“五个纪要”精神落实情况专题研究。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（二）无党派和党外知识分子工作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包括但不限于：加强新时代党外知识分子思想政治工作和无党派代表人士队伍建设专题研究。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（三）民族、宗教工作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包括但不限于：铸牢中华民族共同体意识理论体系和实践路径研究；</w:t>
      </w:r>
      <w:r>
        <w:rPr>
          <w:rFonts w:hint="eastAsia" w:ascii="仿宋_GB2312" w:hAnsi="仿宋_GB2312" w:eastAsia="仿宋_GB2312" w:cs="仿宋_GB2312"/>
          <w:sz w:val="32"/>
          <w:szCs w:val="32"/>
          <w:lang w:val="en-US" w:eastAsia="zh-CN"/>
        </w:rPr>
        <w:t>深入推进我国宗教中国化专题研究；深入推动解决各教重点难点问题专题研究。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（四）非公有制经济领域统战工作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包括但不限于：资本干预政治和舆论的动向及对策研究；支持服务民营经济高质量发展的对策与路径研究；非公有制经济助力“共同富裕”的实践路径研究。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（五）新的社会阶层人士统战工作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但不限于：加强新的社会阶层人士联谊组织建设、实践创新基地建设专题研究；加强相关重点群体统战工作专题研究（自由职业人员和网络人士、律师行业和社会组织从业人员、注册会计师和资产评估行业等）；新的社会阶层人士综合评价体系及其实施工作专题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（六）港澳台统战工作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包括但不限于：探索开展香港专业人士社团和内地港人工作专题研究；在港统战工作平台建设专题研究。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（七）海外统战工作与侨务工作</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sz w:val="32"/>
          <w:szCs w:val="32"/>
        </w:rPr>
      </w:pPr>
      <w:r>
        <w:rPr>
          <w:rFonts w:hint="eastAsia" w:ascii="仿宋_GB2312" w:hAnsi="仿宋_GB2312" w:eastAsia="仿宋_GB2312" w:cs="仿宋_GB2312"/>
          <w:sz w:val="32"/>
          <w:szCs w:val="32"/>
          <w:lang w:val="en-US" w:eastAsia="zh-CN"/>
        </w:rPr>
        <w:t>包括但不限于：新形势下在美西方国家开展海外统战工作的思路与对策研究；推动完善涉侨政策法规、提升为侨服务水平专题研究；涉侨民间外交、民间外宣和民间华文教育工作专题研究。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76339"/>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3"/>
    <w:rsid w:val="00082786"/>
    <w:rsid w:val="001711B0"/>
    <w:rsid w:val="00227225"/>
    <w:rsid w:val="003C0FD9"/>
    <w:rsid w:val="00407DC3"/>
    <w:rsid w:val="004B2236"/>
    <w:rsid w:val="00502BBD"/>
    <w:rsid w:val="005113BF"/>
    <w:rsid w:val="0064321C"/>
    <w:rsid w:val="007F6343"/>
    <w:rsid w:val="00A635A8"/>
    <w:rsid w:val="00AF3C2F"/>
    <w:rsid w:val="00C33831"/>
    <w:rsid w:val="00C95042"/>
    <w:rsid w:val="00D757DF"/>
    <w:rsid w:val="00F04305"/>
    <w:rsid w:val="00F25172"/>
    <w:rsid w:val="08277691"/>
    <w:rsid w:val="0BD37D9D"/>
    <w:rsid w:val="0CD61310"/>
    <w:rsid w:val="23450AF5"/>
    <w:rsid w:val="44E31AC3"/>
    <w:rsid w:val="4E91492F"/>
    <w:rsid w:val="54A357C2"/>
    <w:rsid w:val="59890FD8"/>
    <w:rsid w:val="65863FD2"/>
    <w:rsid w:val="72924D40"/>
    <w:rsid w:val="766132AC"/>
    <w:rsid w:val="7D4E3FD5"/>
    <w:rsid w:val="7DEF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283</Words>
  <Characters>1615</Characters>
  <Lines>13</Lines>
  <Paragraphs>3</Paragraphs>
  <TotalTime>4</TotalTime>
  <ScaleCrop>false</ScaleCrop>
  <LinksUpToDate>false</LinksUpToDate>
  <CharactersWithSpaces>1895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2021-01-21T02:23:00Z</dcterms:created>
  <dc:creator>LENOVO</dc:creator>
  <cp:lastModifiedBy>admin</cp:lastModifiedBy>
  <cp:lastPrinted>2022-02-25T03:31:40Z</cp:lastPrinted>
  <dcterms:modified xsi:type="dcterms:W3CDTF">2022-02-25T03:31:44Z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8F9C4BDB86BF472EA6CFB064D2CE9A02</vt:lpwstr>
  </property>
</Properties>
</file>